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B4E7C" w14:textId="77777777" w:rsidR="00A236A8" w:rsidRDefault="00A236A8" w:rsidP="005703EE">
      <w:pPr>
        <w:pStyle w:val="Date"/>
        <w:spacing w:after="240"/>
        <w:rPr>
          <w:rFonts w:ascii="Dax Offc Pro" w:hAnsi="Dax Offc Pro"/>
          <w:sz w:val="20"/>
        </w:rPr>
      </w:pPr>
    </w:p>
    <w:p w14:paraId="56EED18C" w14:textId="77777777" w:rsidR="005703EE" w:rsidRDefault="0035403B" w:rsidP="005703EE">
      <w:pPr>
        <w:pStyle w:val="Date"/>
        <w:spacing w:after="240"/>
        <w:rPr>
          <w:rFonts w:ascii="Dax Offc Pro" w:hAnsi="Dax Offc Pro"/>
          <w:sz w:val="20"/>
        </w:rPr>
      </w:pPr>
      <w:r>
        <w:rPr>
          <w:rFonts w:ascii="Dax Offc Pro" w:hAnsi="Dax Offc Pro"/>
          <w:sz w:val="20"/>
        </w:rPr>
        <w:t>Le &lt;Date&gt;</w:t>
      </w:r>
    </w:p>
    <w:p w14:paraId="22E9D448" w14:textId="77777777" w:rsidR="00A236A8" w:rsidRDefault="007059E7" w:rsidP="00A236A8">
      <w:pPr>
        <w:pStyle w:val="Date"/>
        <w:spacing w:before="0" w:after="0"/>
        <w:rPr>
          <w:rFonts w:ascii="Dax Offc Pro" w:hAnsi="Dax Offc Pro"/>
          <w:sz w:val="20"/>
        </w:rPr>
      </w:pPr>
      <w:r>
        <w:rPr>
          <w:rFonts w:ascii="Dax Offc Pro" w:hAnsi="Dax Offc Pro"/>
          <w:sz w:val="20"/>
        </w:rPr>
        <w:t>&lt;&lt;Nom du client&gt;&gt;</w:t>
      </w:r>
      <w:r>
        <w:rPr>
          <w:rFonts w:ascii="Dax Offc Pro" w:hAnsi="Dax Offc Pro"/>
          <w:sz w:val="20"/>
        </w:rPr>
        <w:br/>
        <w:t>&lt;&lt;Adresse du client&gt;&gt;</w:t>
      </w:r>
      <w:r>
        <w:rPr>
          <w:rFonts w:ascii="Dax Offc Pro" w:hAnsi="Dax Offc Pro"/>
          <w:sz w:val="20"/>
        </w:rPr>
        <w:br/>
        <w:t>&lt;&lt;Ville&gt;&gt; (&lt;&lt;Province&gt;&gt;)</w:t>
      </w:r>
    </w:p>
    <w:p w14:paraId="7F81A19F" w14:textId="77777777" w:rsidR="007059E7" w:rsidRPr="000323C9" w:rsidRDefault="007059E7" w:rsidP="00A236A8">
      <w:pPr>
        <w:pStyle w:val="Date"/>
        <w:spacing w:before="0" w:after="0"/>
        <w:rPr>
          <w:rFonts w:ascii="Dax Offc Pro" w:hAnsi="Dax Offc Pro"/>
          <w:sz w:val="20"/>
        </w:rPr>
      </w:pPr>
      <w:r>
        <w:rPr>
          <w:rFonts w:ascii="Dax Offc Pro" w:hAnsi="Dax Offc Pro"/>
          <w:sz w:val="20"/>
        </w:rPr>
        <w:t>&lt;&lt;Code postal&gt;&gt;</w:t>
      </w:r>
    </w:p>
    <w:p w14:paraId="2B225E4E" w14:textId="77777777" w:rsidR="00B75AD9" w:rsidRPr="000323C9" w:rsidRDefault="00B75AD9" w:rsidP="00B75AD9">
      <w:pPr>
        <w:pStyle w:val="Salutation"/>
        <w:rPr>
          <w:rFonts w:ascii="Dax Offc Pro" w:hAnsi="Dax Offc Pro"/>
          <w:noProof/>
          <w:sz w:val="20"/>
        </w:rPr>
      </w:pPr>
      <w:r>
        <w:rPr>
          <w:rFonts w:ascii="Dax Offc Pro" w:hAnsi="Dax Offc Pro"/>
          <w:noProof/>
          <w:sz w:val="20"/>
        </w:rPr>
        <w:t>[Madame,] [Monsieur,]</w:t>
      </w:r>
    </w:p>
    <w:p w14:paraId="60888E75" w14:textId="77777777" w:rsidR="00830AA3" w:rsidRDefault="00830AA3" w:rsidP="007059E7">
      <w:pPr>
        <w:pStyle w:val="BodyText"/>
        <w:rPr>
          <w:rFonts w:ascii="Dax Offc Pro" w:hAnsi="Dax Offc Pro"/>
          <w:noProof/>
          <w:sz w:val="20"/>
        </w:rPr>
      </w:pPr>
      <w:r>
        <w:rPr>
          <w:rFonts w:ascii="Dax Offc Pro" w:hAnsi="Dax Offc Pro"/>
          <w:noProof/>
          <w:sz w:val="20"/>
        </w:rPr>
        <w:t xml:space="preserve">Nous vous écrivons dans le but de vous présenter les grandes lignes de la police des Fonds de placement garanti BMO à laquelle vous avez souscrit. </w:t>
      </w:r>
    </w:p>
    <w:p w14:paraId="71CDFA37" w14:textId="77777777" w:rsidR="007059E7" w:rsidRPr="000323C9" w:rsidRDefault="007059E7" w:rsidP="007059E7">
      <w:pPr>
        <w:pStyle w:val="BodyText"/>
        <w:rPr>
          <w:rFonts w:ascii="Dax Offc Pro" w:hAnsi="Dax Offc Pro"/>
          <w:noProof/>
          <w:sz w:val="20"/>
        </w:rPr>
      </w:pPr>
      <w:r>
        <w:rPr>
          <w:rFonts w:ascii="Dax Offc Pro" w:hAnsi="Dax Offc Pro"/>
          <w:noProof/>
          <w:sz w:val="20"/>
        </w:rPr>
        <w:t>Nous avions discuté de votre souhait &lt;&lt;de transférer votre patrimoine/d’obtenir des garanties de placement, etc.&gt;&gt;. Vous m’avez aussi parlé de &lt;&lt;situation du client, comme les enfants, etc.&gt;&gt;.</w:t>
      </w:r>
    </w:p>
    <w:p w14:paraId="0604F669" w14:textId="77777777" w:rsidR="004C77D4" w:rsidRDefault="007059E7" w:rsidP="000F5583">
      <w:pPr>
        <w:pStyle w:val="BodyText"/>
        <w:rPr>
          <w:rFonts w:ascii="Dax Offc Pro" w:hAnsi="Dax Offc Pro"/>
          <w:noProof/>
          <w:sz w:val="20"/>
        </w:rPr>
      </w:pPr>
      <w:r>
        <w:rPr>
          <w:rFonts w:ascii="Dax Offc Pro" w:hAnsi="Dax Offc Pro"/>
          <w:noProof/>
          <w:sz w:val="20"/>
        </w:rPr>
        <w:t>Selon notre discussion et les renseignements ci-dessus, vous avez choisi de souscrire à une :</w:t>
      </w:r>
    </w:p>
    <w:p w14:paraId="076DD950" w14:textId="77777777" w:rsidR="000323C9" w:rsidRPr="000323C9" w:rsidRDefault="000323C9" w:rsidP="004C77D4">
      <w:pPr>
        <w:pStyle w:val="BodyText"/>
        <w:numPr>
          <w:ilvl w:val="0"/>
          <w:numId w:val="7"/>
        </w:numPr>
        <w:rPr>
          <w:rFonts w:ascii="Dax Offc Pro" w:hAnsi="Dax Offc Pro"/>
          <w:noProof/>
          <w:sz w:val="20"/>
        </w:rPr>
      </w:pPr>
      <w:r>
        <w:rPr>
          <w:rFonts w:ascii="Dax Offc Pro" w:hAnsi="Dax Offc Pro"/>
          <w:noProof/>
          <w:sz w:val="20"/>
        </w:rPr>
        <w:t>police &lt;&lt;FPG 75/75, FPG 75/100 ou FPG 100/100&gt;&gt; émise par BMO Assurance. Vous avez choisi le(s) &lt;&lt;nom(s) de fonds&gt;&gt; comme option(s) de placement pour votre police. Cette police vous offre une garantie de dépôt de &lt;&lt;75 %/100 %&gt;&gt; à l’échéance et de &lt;&lt;75 %/100 %&gt;&gt; au décès, déduction faite d’un montant proportionnel aux retraits effectués. Le(s) &lt;&lt;nom(s) de fonds&gt;&gt; présente(nt) un profil de placement adapté à votre tolérance au risque.</w:t>
      </w:r>
    </w:p>
    <w:p w14:paraId="1C368A43" w14:textId="77777777" w:rsidR="00A647F8" w:rsidRPr="0035403B" w:rsidRDefault="00A647F8" w:rsidP="00DB2C79">
      <w:pPr>
        <w:pStyle w:val="BodyText"/>
        <w:rPr>
          <w:rFonts w:ascii="Dax Offc Pro" w:hAnsi="Dax Offc Pro"/>
          <w:noProof/>
          <w:sz w:val="20"/>
        </w:rPr>
      </w:pPr>
      <w:r>
        <w:rPr>
          <w:rFonts w:ascii="Dax Offc Pro" w:hAnsi="Dax Offc Pro"/>
          <w:noProof/>
          <w:sz w:val="20"/>
        </w:rPr>
        <w:t>(Facultatif) La police que je vous recommande et votre choix diffèrent parce que &lt;&lt;stabilité, besoin(s) non satisfait(s)&gt;&gt;.</w:t>
      </w:r>
    </w:p>
    <w:p w14:paraId="7362E8A8" w14:textId="77777777" w:rsidR="00DB2C79" w:rsidRDefault="00841CBC" w:rsidP="00DB2C79">
      <w:pPr>
        <w:pStyle w:val="BodyText"/>
        <w:rPr>
          <w:rFonts w:ascii="Dax Offc Pro" w:hAnsi="Dax Offc Pro"/>
          <w:noProof/>
          <w:sz w:val="20"/>
        </w:rPr>
      </w:pPr>
      <w:r>
        <w:rPr>
          <w:rFonts w:ascii="Dax Offc Pro" w:hAnsi="Dax Offc Pro"/>
          <w:noProof/>
          <w:sz w:val="20"/>
        </w:rPr>
        <w:t xml:space="preserve">La police souscrite est assortie de diverses options de frais de vente. Nous avons convenu de l’&lt;&lt;option de frais de vente&gt;&gt; en fonction de votre horizon de placement à &lt;&lt;court/moyen/long&gt;&gt; terme et de vos besoins en liquidité &lt;&lt;minimes/moyens/considérables&gt;&gt; à court terme.  </w:t>
      </w:r>
    </w:p>
    <w:p w14:paraId="34845757" w14:textId="77777777" w:rsidR="00DB2C79" w:rsidRDefault="00316154" w:rsidP="00DB2C79">
      <w:pPr>
        <w:pStyle w:val="BodyText"/>
        <w:rPr>
          <w:rFonts w:ascii="Dax Offc Pro" w:hAnsi="Dax Offc Pro"/>
          <w:noProof/>
          <w:sz w:val="20"/>
        </w:rPr>
      </w:pPr>
      <w:r>
        <w:rPr>
          <w:rFonts w:ascii="Dax Offc Pro" w:hAnsi="Dax Offc Pro"/>
          <w:noProof/>
          <w:sz w:val="20"/>
        </w:rPr>
        <w:t>La présente lettre n’est qu’un résumé de notre conversation. Il est important que vous lisiez et compreniez la notice explicative, et que vous passiez en revue votre demande et vos relevés de client afin d’en confirmer l’exactitude. N’hésitez pas à communiquer avec moi si vous avez des préoccupations ou si ne comprenez pas quelque élément que ce soit de votre police d’assurance. Je vous prie de conserver cette lettre pour vos dossiers.</w:t>
      </w:r>
    </w:p>
    <w:p w14:paraId="54176412" w14:textId="77777777" w:rsidR="00F26479" w:rsidRPr="000323C9" w:rsidRDefault="00F26479" w:rsidP="00DB2C79">
      <w:pPr>
        <w:pStyle w:val="BodyText"/>
        <w:rPr>
          <w:rFonts w:ascii="Dax Offc Pro" w:hAnsi="Dax Offc Pro"/>
          <w:noProof/>
          <w:sz w:val="20"/>
        </w:rPr>
      </w:pPr>
      <w:r>
        <w:rPr>
          <w:rFonts w:ascii="Dax Offc Pro" w:hAnsi="Dax Offc Pro"/>
          <w:noProof/>
          <w:sz w:val="20"/>
        </w:rPr>
        <w:t>Veuillez agréer, [Madame] OR [Monsieur], mes salutations distinguées.</w:t>
      </w:r>
    </w:p>
    <w:p w14:paraId="2066DA9C" w14:textId="77777777" w:rsidR="00F26479" w:rsidRPr="000323C9" w:rsidRDefault="005703EE" w:rsidP="00F26479">
      <w:pPr>
        <w:pStyle w:val="Signature"/>
        <w:rPr>
          <w:rFonts w:ascii="Dax Offc Pro" w:hAnsi="Dax Offc Pro"/>
          <w:noProof/>
          <w:sz w:val="20"/>
        </w:rPr>
      </w:pPr>
      <w:r>
        <w:rPr>
          <w:rFonts w:ascii="Dax Offc Pro" w:hAnsi="Dax Offc Pro"/>
          <w:noProof/>
          <w:sz w:val="20"/>
        </w:rPr>
        <w:t>&lt;&lt;Nom du conseiller&gt;&gt;</w:t>
      </w:r>
    </w:p>
    <w:p w14:paraId="24DD64DF" w14:textId="77777777" w:rsidR="00F26479" w:rsidRDefault="005703EE" w:rsidP="00F26479">
      <w:pPr>
        <w:pStyle w:val="Signature"/>
        <w:rPr>
          <w:rFonts w:ascii="Dax Offc Pro" w:hAnsi="Dax Offc Pro"/>
          <w:noProof/>
          <w:sz w:val="20"/>
        </w:rPr>
      </w:pPr>
      <w:r>
        <w:rPr>
          <w:rFonts w:ascii="Dax Offc Pro" w:hAnsi="Dax Offc Pro"/>
          <w:noProof/>
          <w:sz w:val="20"/>
        </w:rPr>
        <w:t>&lt;&lt;Titre du conseiller&gt;&gt;</w:t>
      </w:r>
    </w:p>
    <w:p w14:paraId="5C737C74" w14:textId="77777777" w:rsidR="00BA5559" w:rsidRPr="0035403B" w:rsidRDefault="00BA5559" w:rsidP="00F26479">
      <w:pPr>
        <w:pStyle w:val="Signature"/>
        <w:rPr>
          <w:rFonts w:ascii="Dax Offc Pro" w:hAnsi="Dax Offc Pro"/>
          <w:noProof/>
          <w:sz w:val="20"/>
        </w:rPr>
      </w:pPr>
      <w:r>
        <w:rPr>
          <w:rFonts w:ascii="Dax Offc Pro" w:hAnsi="Dax Offc Pro"/>
          <w:noProof/>
          <w:sz w:val="20"/>
        </w:rPr>
        <w:t>&lt;&lt;Coordonnées du conseiller&gt;&gt;</w:t>
      </w:r>
    </w:p>
    <w:sectPr w:rsidR="00BA5559" w:rsidRPr="0035403B" w:rsidSect="005703EE">
      <w:footerReference w:type="first" r:id="rId8"/>
      <w:pgSz w:w="12240" w:h="15840" w:code="1"/>
      <w:pgMar w:top="993" w:right="1728" w:bottom="1276" w:left="1728" w:header="1008" w:footer="10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3A854" w14:textId="77777777" w:rsidR="002042ED" w:rsidRDefault="002042ED">
      <w:r>
        <w:separator/>
      </w:r>
    </w:p>
  </w:endnote>
  <w:endnote w:type="continuationSeparator" w:id="0">
    <w:p w14:paraId="27DF5F80" w14:textId="77777777" w:rsidR="002042ED" w:rsidRDefault="002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ax Offc Pro">
    <w:altName w:val="Calibri"/>
    <w:charset w:val="00"/>
    <w:family w:val="swiss"/>
    <w:pitch w:val="variable"/>
    <w:sig w:usb0="A00002BF" w:usb1="4000A4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7AEF1" w14:textId="77777777" w:rsidR="002B307E" w:rsidRDefault="002B307E" w:rsidP="002B307E">
    <w:pPr>
      <w:pStyle w:val="Footer"/>
      <w:jc w:val="right"/>
    </w:pPr>
    <w:r>
      <w:t>817</w:t>
    </w:r>
    <w:r w:rsidR="00021424">
      <w:t>F</w:t>
    </w:r>
    <w:r>
      <w:t xml:space="preserve"> (2019/07/24)</w:t>
    </w:r>
  </w:p>
  <w:p w14:paraId="108F24ED" w14:textId="77777777" w:rsidR="002B307E" w:rsidRDefault="002B307E">
    <w:pPr>
      <w:pStyle w:val="Footer"/>
    </w:pPr>
  </w:p>
  <w:p w14:paraId="5E88559D" w14:textId="77777777" w:rsidR="002B307E" w:rsidRDefault="002B3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518B3" w14:textId="77777777" w:rsidR="002042ED" w:rsidRDefault="002042ED">
      <w:r>
        <w:separator/>
      </w:r>
    </w:p>
  </w:footnote>
  <w:footnote w:type="continuationSeparator" w:id="0">
    <w:p w14:paraId="0EEFE8D4" w14:textId="77777777" w:rsidR="002042ED" w:rsidRDefault="002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EC16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51648E"/>
    <w:multiLevelType w:val="hybridMultilevel"/>
    <w:tmpl w:val="BBE02754"/>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2" w15:restartNumberingAfterBreak="0">
    <w:nsid w:val="55D4694D"/>
    <w:multiLevelType w:val="hybridMultilevel"/>
    <w:tmpl w:val="0DC82A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A8E382E"/>
    <w:multiLevelType w:val="hybridMultilevel"/>
    <w:tmpl w:val="D05AAA7C"/>
    <w:lvl w:ilvl="0" w:tplc="C164C4A0">
      <w:numFmt w:val="bullet"/>
      <w:lvlText w:val=""/>
      <w:lvlJc w:val="left"/>
      <w:pPr>
        <w:tabs>
          <w:tab w:val="num" w:pos="1440"/>
        </w:tabs>
        <w:ind w:left="1440" w:hanging="720"/>
      </w:pPr>
      <w:rPr>
        <w:rFonts w:ascii="Wingdings" w:eastAsia="Times New Roman" w:hAnsi="Wingdings" w:cs="Times New Roman" w:hint="default"/>
        <w:b/>
        <w:color w:val="FF990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E7"/>
    <w:rsid w:val="0000359C"/>
    <w:rsid w:val="00021424"/>
    <w:rsid w:val="000323C9"/>
    <w:rsid w:val="000F5583"/>
    <w:rsid w:val="000F5E40"/>
    <w:rsid w:val="00184350"/>
    <w:rsid w:val="00185EC1"/>
    <w:rsid w:val="0019723A"/>
    <w:rsid w:val="002042ED"/>
    <w:rsid w:val="00227A64"/>
    <w:rsid w:val="002330F0"/>
    <w:rsid w:val="00295032"/>
    <w:rsid w:val="002B307E"/>
    <w:rsid w:val="00316154"/>
    <w:rsid w:val="0035403B"/>
    <w:rsid w:val="00413A94"/>
    <w:rsid w:val="004141F2"/>
    <w:rsid w:val="004C77D4"/>
    <w:rsid w:val="004C78D1"/>
    <w:rsid w:val="005703EE"/>
    <w:rsid w:val="005762BE"/>
    <w:rsid w:val="0059722E"/>
    <w:rsid w:val="0063430A"/>
    <w:rsid w:val="007059E7"/>
    <w:rsid w:val="0073053E"/>
    <w:rsid w:val="007329EC"/>
    <w:rsid w:val="00755690"/>
    <w:rsid w:val="007A235F"/>
    <w:rsid w:val="00830AA3"/>
    <w:rsid w:val="00841CBC"/>
    <w:rsid w:val="009150BF"/>
    <w:rsid w:val="00917659"/>
    <w:rsid w:val="00952099"/>
    <w:rsid w:val="00963D43"/>
    <w:rsid w:val="00981319"/>
    <w:rsid w:val="009B7221"/>
    <w:rsid w:val="00A03C9A"/>
    <w:rsid w:val="00A15A71"/>
    <w:rsid w:val="00A236A8"/>
    <w:rsid w:val="00A647F8"/>
    <w:rsid w:val="00A9689B"/>
    <w:rsid w:val="00AA33D3"/>
    <w:rsid w:val="00AC7014"/>
    <w:rsid w:val="00B75AD9"/>
    <w:rsid w:val="00B900FC"/>
    <w:rsid w:val="00BA1A14"/>
    <w:rsid w:val="00BA5559"/>
    <w:rsid w:val="00C413AD"/>
    <w:rsid w:val="00CF0EDB"/>
    <w:rsid w:val="00D03DE4"/>
    <w:rsid w:val="00DB2C79"/>
    <w:rsid w:val="00DC37CB"/>
    <w:rsid w:val="00E36C96"/>
    <w:rsid w:val="00E62334"/>
    <w:rsid w:val="00E64E3A"/>
    <w:rsid w:val="00EC03CE"/>
    <w:rsid w:val="00EC1273"/>
    <w:rsid w:val="00F11193"/>
    <w:rsid w:val="00F155BA"/>
    <w:rsid w:val="00F2647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2E228"/>
  <w15:docId w15:val="{663D1453-A166-4862-AFA4-D16A33DC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fr-C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479"/>
    <w:rPr>
      <w:rFonts w:ascii="Palatino Linotype" w:hAnsi="Palatino Linotype"/>
      <w:sz w:val="22"/>
      <w:szCs w:val="24"/>
    </w:rPr>
  </w:style>
  <w:style w:type="paragraph" w:styleId="Heading1">
    <w:name w:val="heading 1"/>
    <w:next w:val="Normal"/>
    <w:qFormat/>
    <w:rsid w:val="00A9689B"/>
    <w:pPr>
      <w:spacing w:before="720"/>
      <w:jc w:val="center"/>
      <w:outlineLvl w:val="0"/>
    </w:pPr>
    <w:rPr>
      <w:rFonts w:ascii="Tahoma" w:hAnsi="Tahoma"/>
      <w:b/>
      <w:caps/>
      <w:color w:val="333333"/>
      <w:sz w:val="44"/>
      <w:szCs w:val="32"/>
    </w:rPr>
  </w:style>
  <w:style w:type="paragraph" w:styleId="Heading2">
    <w:name w:val="heading 2"/>
    <w:basedOn w:val="Heading1"/>
    <w:next w:val="Normal"/>
    <w:qFormat/>
    <w:rsid w:val="00F26479"/>
    <w:pPr>
      <w:spacing w:before="0" w:after="200"/>
      <w:outlineLvl w:val="1"/>
    </w:pPr>
    <w:rPr>
      <w:b w:val="0"/>
      <w:sz w:val="24"/>
    </w:rPr>
  </w:style>
  <w:style w:type="paragraph" w:styleId="Heading3">
    <w:name w:val="heading 3"/>
    <w:basedOn w:val="Normal"/>
    <w:next w:val="Normal"/>
    <w:link w:val="Heading3Char"/>
    <w:qFormat/>
    <w:rsid w:val="00F26479"/>
    <w:pPr>
      <w:tabs>
        <w:tab w:val="left" w:pos="900"/>
      </w:tabs>
      <w:outlineLvl w:val="2"/>
    </w:pPr>
    <w:rPr>
      <w:rFonts w:ascii="Tahoma" w:hAnsi="Tahoma"/>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F26479"/>
    <w:pPr>
      <w:spacing w:before="240" w:after="480"/>
    </w:pPr>
    <w:rPr>
      <w:noProof/>
    </w:rPr>
  </w:style>
  <w:style w:type="paragraph" w:customStyle="1" w:styleId="RecipientAddress">
    <w:name w:val="Recipient Address"/>
    <w:basedOn w:val="Normal"/>
    <w:rsid w:val="00F26479"/>
  </w:style>
  <w:style w:type="paragraph" w:styleId="Salutation">
    <w:name w:val="Salutation"/>
    <w:basedOn w:val="Normal"/>
    <w:next w:val="Normal"/>
    <w:rsid w:val="00F26479"/>
    <w:pPr>
      <w:spacing w:before="480" w:after="240"/>
    </w:pPr>
  </w:style>
  <w:style w:type="paragraph" w:customStyle="1" w:styleId="Subject">
    <w:name w:val="Subject"/>
    <w:next w:val="Normal"/>
    <w:rsid w:val="00F26479"/>
    <w:pPr>
      <w:spacing w:before="480"/>
    </w:pPr>
    <w:rPr>
      <w:rFonts w:ascii="Palatino Linotype" w:hAnsi="Palatino Linotype"/>
      <w:sz w:val="22"/>
      <w:szCs w:val="24"/>
    </w:rPr>
  </w:style>
  <w:style w:type="paragraph" w:styleId="BalloonText">
    <w:name w:val="Balloon Text"/>
    <w:basedOn w:val="Normal"/>
    <w:semiHidden/>
    <w:rsid w:val="00F26479"/>
    <w:rPr>
      <w:rFonts w:ascii="Tahoma" w:hAnsi="Tahoma" w:cs="Tahoma"/>
      <w:sz w:val="16"/>
      <w:szCs w:val="16"/>
    </w:rPr>
  </w:style>
  <w:style w:type="paragraph" w:styleId="BodyText">
    <w:name w:val="Body Text"/>
    <w:basedOn w:val="Normal"/>
    <w:link w:val="BodyTextChar"/>
    <w:rsid w:val="00F26479"/>
    <w:pPr>
      <w:spacing w:after="240"/>
    </w:pPr>
  </w:style>
  <w:style w:type="paragraph" w:customStyle="1" w:styleId="BodyTextBullet">
    <w:name w:val="Body Text Bullet"/>
    <w:basedOn w:val="BodyText"/>
    <w:next w:val="BodyText"/>
    <w:link w:val="BodyTextBulletChar"/>
    <w:rsid w:val="00F26479"/>
    <w:pPr>
      <w:tabs>
        <w:tab w:val="left" w:pos="720"/>
      </w:tabs>
      <w:spacing w:after="120"/>
      <w:ind w:left="720" w:hanging="360"/>
    </w:pPr>
  </w:style>
  <w:style w:type="character" w:customStyle="1" w:styleId="BodyTextChar">
    <w:name w:val="Body Text Char"/>
    <w:basedOn w:val="DefaultParagraphFont"/>
    <w:link w:val="BodyText"/>
    <w:rsid w:val="00F26479"/>
    <w:rPr>
      <w:rFonts w:ascii="Palatino Linotype" w:hAnsi="Palatino Linotype"/>
      <w:sz w:val="22"/>
      <w:szCs w:val="24"/>
      <w:lang w:val="fr-CA" w:eastAsia="fr-CA" w:bidi="fr-CA"/>
    </w:rPr>
  </w:style>
  <w:style w:type="character" w:customStyle="1" w:styleId="BodyTextBulletChar">
    <w:name w:val="Body Text Bullet Char"/>
    <w:basedOn w:val="BodyTextChar"/>
    <w:link w:val="BodyTextBullet"/>
    <w:rsid w:val="00F26479"/>
    <w:rPr>
      <w:rFonts w:ascii="Palatino Linotype" w:hAnsi="Palatino Linotype"/>
      <w:sz w:val="22"/>
      <w:szCs w:val="24"/>
      <w:lang w:val="fr-CA" w:eastAsia="fr-CA" w:bidi="fr-CA"/>
    </w:rPr>
  </w:style>
  <w:style w:type="paragraph" w:customStyle="1" w:styleId="BodyTextHeader">
    <w:name w:val="Body Text Header"/>
    <w:basedOn w:val="BodyText"/>
    <w:next w:val="BodyText"/>
    <w:rsid w:val="00F26479"/>
    <w:rPr>
      <w:b/>
    </w:rPr>
  </w:style>
  <w:style w:type="paragraph" w:customStyle="1" w:styleId="ccEnclosure">
    <w:name w:val="cc:/Enclosure"/>
    <w:basedOn w:val="Normal"/>
    <w:rsid w:val="00F26479"/>
    <w:pPr>
      <w:tabs>
        <w:tab w:val="left" w:pos="1440"/>
      </w:tabs>
      <w:spacing w:before="240" w:after="240"/>
      <w:ind w:left="1440" w:hanging="1440"/>
    </w:pPr>
  </w:style>
  <w:style w:type="paragraph" w:styleId="Closing">
    <w:name w:val="Closing"/>
    <w:basedOn w:val="Normal"/>
    <w:rsid w:val="00F26479"/>
    <w:pPr>
      <w:spacing w:after="960"/>
    </w:pPr>
  </w:style>
  <w:style w:type="paragraph" w:styleId="Footer">
    <w:name w:val="footer"/>
    <w:link w:val="FooterChar"/>
    <w:uiPriority w:val="99"/>
    <w:rsid w:val="00F26479"/>
    <w:pPr>
      <w:tabs>
        <w:tab w:val="left" w:pos="900"/>
        <w:tab w:val="right" w:pos="8640"/>
      </w:tabs>
    </w:pPr>
    <w:rPr>
      <w:rFonts w:ascii="Tahoma" w:hAnsi="Tahoma"/>
      <w:sz w:val="16"/>
      <w:szCs w:val="24"/>
    </w:rPr>
  </w:style>
  <w:style w:type="paragraph" w:customStyle="1" w:styleId="Footertext">
    <w:name w:val="Footer text"/>
    <w:rsid w:val="00F26479"/>
    <w:pPr>
      <w:pBdr>
        <w:left w:val="single" w:sz="4" w:space="4" w:color="auto"/>
      </w:pBdr>
    </w:pPr>
    <w:rPr>
      <w:rFonts w:ascii="Tahoma" w:hAnsi="Tahoma"/>
      <w:sz w:val="16"/>
      <w:szCs w:val="24"/>
    </w:rPr>
  </w:style>
  <w:style w:type="paragraph" w:styleId="Header">
    <w:name w:val="header"/>
    <w:basedOn w:val="Normal"/>
    <w:rsid w:val="00F26479"/>
    <w:pPr>
      <w:tabs>
        <w:tab w:val="center" w:pos="4320"/>
        <w:tab w:val="right" w:pos="8640"/>
      </w:tabs>
      <w:spacing w:before="60"/>
    </w:pPr>
    <w:rPr>
      <w:rFonts w:ascii="Tahoma" w:hAnsi="Tahoma"/>
      <w:b/>
      <w:caps/>
      <w:noProof/>
      <w:color w:val="333333"/>
      <w:sz w:val="18"/>
      <w:szCs w:val="18"/>
    </w:rPr>
  </w:style>
  <w:style w:type="character" w:customStyle="1" w:styleId="Heading3Char">
    <w:name w:val="Heading 3 Char"/>
    <w:basedOn w:val="DefaultParagraphFont"/>
    <w:link w:val="Heading3"/>
    <w:rsid w:val="00F26479"/>
    <w:rPr>
      <w:rFonts w:ascii="Tahoma" w:hAnsi="Tahoma"/>
      <w:bCs/>
      <w:caps/>
      <w:color w:val="333333"/>
      <w:sz w:val="14"/>
      <w:szCs w:val="24"/>
      <w:lang w:val="fr-CA" w:eastAsia="fr-CA" w:bidi="fr-CA"/>
    </w:rPr>
  </w:style>
  <w:style w:type="character" w:styleId="PageNumber">
    <w:name w:val="page number"/>
    <w:basedOn w:val="DefaultParagraphFont"/>
    <w:rsid w:val="00F26479"/>
  </w:style>
  <w:style w:type="paragraph" w:customStyle="1" w:styleId="SenderAddress">
    <w:name w:val="Sender Address"/>
    <w:basedOn w:val="Normal"/>
    <w:rsid w:val="00F26479"/>
  </w:style>
  <w:style w:type="paragraph" w:styleId="Signature">
    <w:name w:val="Signature"/>
    <w:basedOn w:val="Normal"/>
    <w:rsid w:val="00F26479"/>
  </w:style>
  <w:style w:type="character" w:styleId="CommentReference">
    <w:name w:val="annotation reference"/>
    <w:basedOn w:val="DefaultParagraphFont"/>
    <w:rsid w:val="009150BF"/>
    <w:rPr>
      <w:sz w:val="16"/>
      <w:szCs w:val="16"/>
    </w:rPr>
  </w:style>
  <w:style w:type="paragraph" w:styleId="CommentText">
    <w:name w:val="annotation text"/>
    <w:basedOn w:val="Normal"/>
    <w:link w:val="CommentTextChar"/>
    <w:rsid w:val="009150BF"/>
    <w:rPr>
      <w:sz w:val="20"/>
      <w:szCs w:val="20"/>
    </w:rPr>
  </w:style>
  <w:style w:type="character" w:customStyle="1" w:styleId="CommentTextChar">
    <w:name w:val="Comment Text Char"/>
    <w:basedOn w:val="DefaultParagraphFont"/>
    <w:link w:val="CommentText"/>
    <w:rsid w:val="009150BF"/>
    <w:rPr>
      <w:rFonts w:ascii="Palatino Linotype" w:hAnsi="Palatino Linotype"/>
      <w:lang w:val="fr-CA" w:eastAsia="fr-CA"/>
    </w:rPr>
  </w:style>
  <w:style w:type="paragraph" w:styleId="CommentSubject">
    <w:name w:val="annotation subject"/>
    <w:basedOn w:val="CommentText"/>
    <w:next w:val="CommentText"/>
    <w:link w:val="CommentSubjectChar"/>
    <w:rsid w:val="009150BF"/>
    <w:rPr>
      <w:b/>
      <w:bCs/>
    </w:rPr>
  </w:style>
  <w:style w:type="character" w:customStyle="1" w:styleId="CommentSubjectChar">
    <w:name w:val="Comment Subject Char"/>
    <w:basedOn w:val="CommentTextChar"/>
    <w:link w:val="CommentSubject"/>
    <w:rsid w:val="009150BF"/>
    <w:rPr>
      <w:rFonts w:ascii="Palatino Linotype" w:hAnsi="Palatino Linotype"/>
      <w:b/>
      <w:bCs/>
      <w:lang w:val="fr-CA" w:eastAsia="fr-CA"/>
    </w:rPr>
  </w:style>
  <w:style w:type="character" w:customStyle="1" w:styleId="FooterChar">
    <w:name w:val="Footer Char"/>
    <w:basedOn w:val="DefaultParagraphFont"/>
    <w:link w:val="Footer"/>
    <w:uiPriority w:val="99"/>
    <w:rsid w:val="002B307E"/>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as05\AppData\Roaming\Microsoft\Templates\Sale%20follow-up%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B232-B6A2-42B1-9206-83F42873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Sale follow-up letter</Template>
  <TotalTime>2</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Sales Performance International/Solution Selling, Inc.</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Explicative</dc:title>
  <dc:creator>Prashant, Aseem</dc:creator>
  <cp:lastModifiedBy>Patrick Scouten</cp:lastModifiedBy>
  <cp:revision>4</cp:revision>
  <cp:lastPrinted>2018-09-14T16:06:00Z</cp:lastPrinted>
  <dcterms:created xsi:type="dcterms:W3CDTF">2020-11-05T16:54:00Z</dcterms:created>
  <dcterms:modified xsi:type="dcterms:W3CDTF">2020-11-05T22:19:00Z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TC011039021033</vt:lpwstr>
  </property>
</Properties>
</file>